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E0DCD" w14:textId="0527858E" w:rsidR="00516B1E" w:rsidRPr="0040055E" w:rsidRDefault="00516B1E" w:rsidP="0040055E">
      <w:pPr>
        <w:spacing w:before="120"/>
        <w:jc w:val="both"/>
        <w:rPr>
          <w:rFonts w:ascii="Arial" w:hAnsi="Arial" w:cs="Arial"/>
          <w:b/>
          <w:lang w:bidi="es-ES"/>
        </w:rPr>
      </w:pPr>
      <w:r w:rsidRPr="0040055E">
        <w:rPr>
          <w:rFonts w:ascii="Arial" w:hAnsi="Arial" w:cs="Arial"/>
          <w:b/>
          <w:lang w:bidi="es-ES"/>
        </w:rPr>
        <w:t xml:space="preserve">SOLICITUD DE MODIFICACIÓN NORMAL DEL PLIEGO DE CONDICIONES DE LA DENOMINACIÓN DE ORIGEN PROTEGIDA </w:t>
      </w:r>
      <w:r w:rsidR="00893AA3">
        <w:rPr>
          <w:rFonts w:ascii="Arial" w:hAnsi="Arial" w:cs="Arial"/>
          <w:b/>
          <w:lang w:bidi="es-ES"/>
        </w:rPr>
        <w:t>PIMENTON DE MURCIA</w:t>
      </w:r>
    </w:p>
    <w:p w14:paraId="2ED430DD" w14:textId="77777777" w:rsidR="00516B1E" w:rsidRPr="0040055E" w:rsidRDefault="00516B1E" w:rsidP="0040055E">
      <w:pPr>
        <w:pStyle w:val="Ttulo1"/>
        <w:spacing w:before="120"/>
        <w:rPr>
          <w:rFonts w:ascii="Arial" w:hAnsi="Arial" w:cs="Arial"/>
          <w:sz w:val="22"/>
          <w:szCs w:val="22"/>
          <w:lang w:val="es-ES"/>
        </w:rPr>
      </w:pPr>
      <w:r w:rsidRPr="0040055E">
        <w:rPr>
          <w:rFonts w:ascii="Arial" w:hAnsi="Arial" w:cs="Arial"/>
          <w:sz w:val="22"/>
          <w:szCs w:val="22"/>
          <w:lang w:val="es-ES" w:bidi="es-ES"/>
        </w:rPr>
        <w:t>AGRUPACIÓN SOLICITANTE E INTERÉS LEGÍTIMO</w:t>
      </w:r>
    </w:p>
    <w:p w14:paraId="1D635B64" w14:textId="7F506960" w:rsidR="00516B1E" w:rsidRPr="0040055E" w:rsidRDefault="00516B1E" w:rsidP="0040055E">
      <w:pPr>
        <w:pStyle w:val="NormalCentered"/>
        <w:jc w:val="both"/>
        <w:rPr>
          <w:rFonts w:ascii="Arial" w:hAnsi="Arial" w:cs="Arial"/>
          <w:sz w:val="22"/>
          <w:szCs w:val="22"/>
          <w:lang w:val="es-ES"/>
        </w:rPr>
      </w:pPr>
      <w:r w:rsidRPr="0040055E">
        <w:rPr>
          <w:rFonts w:ascii="Arial" w:hAnsi="Arial" w:cs="Arial"/>
          <w:sz w:val="22"/>
          <w:szCs w:val="22"/>
          <w:lang w:val="es-ES"/>
        </w:rPr>
        <w:t>Consejo Regulador de la Denominación de Origen Protegida «</w:t>
      </w:r>
      <w:r w:rsidR="00893AA3">
        <w:rPr>
          <w:rFonts w:ascii="Arial" w:hAnsi="Arial" w:cs="Arial"/>
          <w:sz w:val="22"/>
          <w:szCs w:val="22"/>
          <w:lang w:val="es-ES"/>
        </w:rPr>
        <w:t>Pimenton de Murcia</w:t>
      </w:r>
      <w:r w:rsidRPr="0040055E">
        <w:rPr>
          <w:rFonts w:ascii="Arial" w:hAnsi="Arial" w:cs="Arial"/>
          <w:sz w:val="22"/>
          <w:szCs w:val="22"/>
          <w:lang w:val="es-ES"/>
        </w:rPr>
        <w:t xml:space="preserve">» </w:t>
      </w:r>
    </w:p>
    <w:p w14:paraId="07B5BB49" w14:textId="77777777" w:rsidR="00516B1E" w:rsidRPr="0040055E" w:rsidRDefault="00516B1E" w:rsidP="0040055E">
      <w:pPr>
        <w:pStyle w:val="Text1"/>
        <w:ind w:left="0"/>
        <w:rPr>
          <w:rFonts w:ascii="Arial" w:hAnsi="Arial" w:cs="Arial"/>
          <w:sz w:val="22"/>
          <w:szCs w:val="22"/>
          <w:lang w:val="es-ES" w:eastAsia="es-ES"/>
        </w:rPr>
      </w:pPr>
      <w:r w:rsidRPr="0040055E">
        <w:rPr>
          <w:rFonts w:ascii="Arial" w:hAnsi="Arial" w:cs="Arial"/>
          <w:sz w:val="22"/>
          <w:szCs w:val="22"/>
          <w:lang w:val="es-ES" w:eastAsia="es-ES"/>
        </w:rPr>
        <w:t xml:space="preserve">El Consejo Regulador es la agrupación representante de los operadores, oficialmente reconocido para la gestión de la DOP, de acuerdo con lo establecido en la normativa vigente </w:t>
      </w:r>
      <w:r w:rsidR="008454E3" w:rsidRPr="0040055E">
        <w:rPr>
          <w:rFonts w:ascii="Arial" w:hAnsi="Arial" w:cs="Arial"/>
          <w:sz w:val="22"/>
          <w:szCs w:val="22"/>
          <w:lang w:val="es-ES" w:eastAsia="es-ES"/>
        </w:rPr>
        <w:t>donde</w:t>
      </w:r>
      <w:r w:rsidRPr="0040055E">
        <w:rPr>
          <w:rFonts w:ascii="Arial" w:hAnsi="Arial" w:cs="Arial"/>
          <w:sz w:val="22"/>
          <w:szCs w:val="22"/>
          <w:lang w:val="es-ES" w:eastAsia="es-ES"/>
        </w:rPr>
        <w:t xml:space="preserve"> tiene definido en sus fines y funciones las competencias para la propuesta de modificaciones del pliego de condiciones.</w:t>
      </w:r>
    </w:p>
    <w:p w14:paraId="61DE9C96" w14:textId="77777777" w:rsidR="00516B1E" w:rsidRPr="0040055E" w:rsidRDefault="00516B1E" w:rsidP="0040055E">
      <w:pPr>
        <w:pStyle w:val="Text1"/>
        <w:ind w:left="0"/>
        <w:rPr>
          <w:rFonts w:ascii="Arial" w:hAnsi="Arial" w:cs="Arial"/>
          <w:sz w:val="22"/>
          <w:szCs w:val="22"/>
          <w:lang w:val="es-ES" w:eastAsia="es-ES"/>
        </w:rPr>
      </w:pPr>
    </w:p>
    <w:p w14:paraId="342A01C2" w14:textId="77777777" w:rsidR="00516B1E" w:rsidRPr="0040055E" w:rsidRDefault="00516B1E" w:rsidP="0040055E">
      <w:pPr>
        <w:pStyle w:val="Ttulo1"/>
        <w:spacing w:before="120"/>
        <w:rPr>
          <w:rFonts w:ascii="Arial" w:hAnsi="Arial" w:cs="Arial"/>
          <w:sz w:val="22"/>
          <w:szCs w:val="22"/>
          <w:lang w:val="es-ES" w:bidi="es-ES"/>
        </w:rPr>
      </w:pPr>
      <w:r w:rsidRPr="0040055E">
        <w:rPr>
          <w:rFonts w:ascii="Arial" w:hAnsi="Arial" w:cs="Arial"/>
          <w:sz w:val="22"/>
          <w:szCs w:val="22"/>
          <w:lang w:val="es-ES" w:bidi="es-ES"/>
        </w:rPr>
        <w:t>CLASIFICACIÓN DE LA MODIFICACIÓN</w:t>
      </w:r>
    </w:p>
    <w:p w14:paraId="4A922C18" w14:textId="11FF8CA3" w:rsidR="00516B1E" w:rsidRPr="0040055E" w:rsidRDefault="00516B1E" w:rsidP="0040055E">
      <w:pPr>
        <w:pStyle w:val="Text1"/>
        <w:ind w:left="0"/>
        <w:rPr>
          <w:rFonts w:ascii="Arial" w:hAnsi="Arial" w:cs="Arial"/>
          <w:sz w:val="22"/>
          <w:szCs w:val="22"/>
          <w:lang w:val="es-ES"/>
        </w:rPr>
      </w:pPr>
      <w:r w:rsidRPr="0040055E">
        <w:rPr>
          <w:rFonts w:ascii="Arial" w:hAnsi="Arial" w:cs="Arial"/>
          <w:sz w:val="22"/>
          <w:szCs w:val="22"/>
          <w:lang w:val="es-ES"/>
        </w:rPr>
        <w:t xml:space="preserve">Las modificaciones que se describen y motivan a continuación </w:t>
      </w:r>
      <w:r w:rsidR="00CD7ADE" w:rsidRPr="0040055E">
        <w:rPr>
          <w:rFonts w:ascii="Arial" w:hAnsi="Arial" w:cs="Arial"/>
          <w:sz w:val="22"/>
          <w:szCs w:val="22"/>
          <w:lang w:val="es-ES"/>
        </w:rPr>
        <w:t xml:space="preserve">se realizan sobre un producto de origen </w:t>
      </w:r>
      <w:r w:rsidR="00523CB3">
        <w:rPr>
          <w:rFonts w:ascii="Arial" w:hAnsi="Arial" w:cs="Arial"/>
          <w:sz w:val="22"/>
          <w:szCs w:val="22"/>
          <w:lang w:val="es-ES"/>
        </w:rPr>
        <w:t>vegetal</w:t>
      </w:r>
      <w:r w:rsidR="00CD7ADE" w:rsidRPr="0040055E">
        <w:rPr>
          <w:rFonts w:ascii="Arial" w:hAnsi="Arial" w:cs="Arial"/>
          <w:sz w:val="22"/>
          <w:szCs w:val="22"/>
          <w:lang w:val="es-ES"/>
        </w:rPr>
        <w:t>;</w:t>
      </w:r>
      <w:r w:rsidRPr="0040055E">
        <w:rPr>
          <w:rFonts w:ascii="Arial" w:hAnsi="Arial" w:cs="Arial"/>
          <w:sz w:val="22"/>
          <w:szCs w:val="22"/>
          <w:lang w:val="es-ES"/>
        </w:rPr>
        <w:t xml:space="preserve"> no conllevan un riesgo de anular el vínculo, ni implican nuevas restricciones a la comercialización del producto. Por tanto, dichas modificaciones se califican como «modificaciones normales» de conformidad con la definición que establece el artículo </w:t>
      </w:r>
      <w:r w:rsidR="008454E3" w:rsidRPr="0040055E">
        <w:rPr>
          <w:rFonts w:ascii="Arial" w:hAnsi="Arial" w:cs="Arial"/>
          <w:sz w:val="22"/>
          <w:szCs w:val="22"/>
          <w:lang w:val="es-ES"/>
        </w:rPr>
        <w:t>24 del Reglamento (UE) nº 2024</w:t>
      </w:r>
      <w:r w:rsidRPr="0040055E">
        <w:rPr>
          <w:rFonts w:ascii="Arial" w:hAnsi="Arial" w:cs="Arial"/>
          <w:sz w:val="22"/>
          <w:szCs w:val="22"/>
          <w:lang w:val="es-ES"/>
        </w:rPr>
        <w:t>/</w:t>
      </w:r>
      <w:r w:rsidR="008454E3" w:rsidRPr="0040055E">
        <w:rPr>
          <w:rFonts w:ascii="Arial" w:hAnsi="Arial" w:cs="Arial"/>
          <w:sz w:val="22"/>
          <w:szCs w:val="22"/>
          <w:lang w:val="es-ES"/>
        </w:rPr>
        <w:t>1143 del Parlamento Europeo y del Consejo de 11 de abril de 2024 relativo a las indicaciones geográficas para vinos, bebidas espirituosas y productos agrícolas, así como especialidades tradicionales garantizadas y términos de calidad facultativos para productos agrícolas, por el que se modifican los Reglamentos (UE) nº 1308/2013, (UE) 2019/787 y (UE) 2019/1753, y se deroga el Reglamento (UE) nº 1151/2012.</w:t>
      </w:r>
    </w:p>
    <w:p w14:paraId="64B26C88" w14:textId="77777777" w:rsidR="00516B1E" w:rsidRPr="0040055E" w:rsidRDefault="00516B1E" w:rsidP="0040055E">
      <w:pPr>
        <w:pStyle w:val="Text1"/>
        <w:ind w:left="0"/>
        <w:rPr>
          <w:rFonts w:ascii="Arial" w:hAnsi="Arial" w:cs="Arial"/>
          <w:sz w:val="22"/>
          <w:szCs w:val="22"/>
          <w:lang w:val="es-ES"/>
        </w:rPr>
      </w:pPr>
    </w:p>
    <w:p w14:paraId="2BFA991D" w14:textId="77777777" w:rsidR="00516B1E" w:rsidRPr="0040055E" w:rsidRDefault="00516B1E" w:rsidP="0040055E">
      <w:pPr>
        <w:pStyle w:val="Ttulo1"/>
        <w:spacing w:before="120"/>
        <w:rPr>
          <w:rFonts w:ascii="Arial" w:hAnsi="Arial" w:cs="Arial"/>
          <w:sz w:val="22"/>
          <w:szCs w:val="22"/>
          <w:lang w:val="es-ES"/>
        </w:rPr>
      </w:pPr>
      <w:r w:rsidRPr="0040055E">
        <w:rPr>
          <w:rFonts w:ascii="Arial" w:hAnsi="Arial" w:cs="Arial"/>
          <w:sz w:val="22"/>
          <w:szCs w:val="22"/>
          <w:lang w:val="es-ES" w:bidi="es-ES"/>
        </w:rPr>
        <w:t>DESCRIPCIÓN Y MOTIVOS DE LAS MODIFICACIONES</w:t>
      </w:r>
    </w:p>
    <w:p w14:paraId="47D0C31A" w14:textId="0742E201" w:rsidR="00516B1E" w:rsidRPr="0040055E" w:rsidRDefault="008454E3" w:rsidP="0040055E">
      <w:pPr>
        <w:pStyle w:val="Ttulo2"/>
        <w:rPr>
          <w:rFonts w:ascii="Arial" w:hAnsi="Arial" w:cs="Arial"/>
          <w:sz w:val="22"/>
          <w:szCs w:val="22"/>
          <w:lang w:val="es-ES"/>
        </w:rPr>
      </w:pPr>
      <w:r w:rsidRPr="0040055E">
        <w:rPr>
          <w:rFonts w:ascii="Arial" w:hAnsi="Arial" w:cs="Arial"/>
          <w:sz w:val="22"/>
          <w:szCs w:val="22"/>
          <w:lang w:val="es-ES"/>
        </w:rPr>
        <w:t xml:space="preserve">Modificación de la </w:t>
      </w:r>
      <w:r w:rsidR="005A51A0">
        <w:rPr>
          <w:rFonts w:ascii="Arial" w:hAnsi="Arial" w:cs="Arial"/>
          <w:sz w:val="22"/>
          <w:szCs w:val="22"/>
          <w:lang w:val="es-ES"/>
        </w:rPr>
        <w:t>descripción sucinta de la zona geográfica</w:t>
      </w:r>
      <w:r w:rsidRPr="0040055E">
        <w:rPr>
          <w:rFonts w:ascii="Arial" w:hAnsi="Arial" w:cs="Arial"/>
          <w:sz w:val="22"/>
          <w:szCs w:val="22"/>
          <w:lang w:val="es-ES"/>
        </w:rPr>
        <w:t>.</w:t>
      </w:r>
    </w:p>
    <w:p w14:paraId="2ED9A6EB" w14:textId="03C813AF" w:rsidR="008454E3" w:rsidRPr="0040055E" w:rsidRDefault="008454E3" w:rsidP="0040055E">
      <w:pPr>
        <w:jc w:val="both"/>
        <w:rPr>
          <w:rFonts w:ascii="Arial" w:hAnsi="Arial" w:cs="Arial"/>
        </w:rPr>
      </w:pPr>
      <w:r w:rsidRPr="0040055E">
        <w:rPr>
          <w:rFonts w:ascii="Arial" w:hAnsi="Arial" w:cs="Arial"/>
        </w:rPr>
        <w:t xml:space="preserve">La presente modificación afecta al apartado </w:t>
      </w:r>
      <w:r w:rsidR="005A51A0">
        <w:rPr>
          <w:rFonts w:ascii="Arial" w:hAnsi="Arial" w:cs="Arial"/>
        </w:rPr>
        <w:t>C</w:t>
      </w:r>
      <w:r w:rsidRPr="0040055E">
        <w:rPr>
          <w:rFonts w:ascii="Arial" w:hAnsi="Arial" w:cs="Arial"/>
        </w:rPr>
        <w:t>) «</w:t>
      </w:r>
      <w:r w:rsidR="005A51A0">
        <w:rPr>
          <w:rFonts w:ascii="Arial" w:hAnsi="Arial" w:cs="Arial"/>
        </w:rPr>
        <w:t xml:space="preserve">Zona geográfica» </w:t>
      </w:r>
      <w:r w:rsidR="00045AF6">
        <w:rPr>
          <w:rFonts w:ascii="Arial" w:hAnsi="Arial" w:cs="Arial"/>
        </w:rPr>
        <w:t>del pliego de condiciones</w:t>
      </w:r>
      <w:r w:rsidRPr="0040055E">
        <w:rPr>
          <w:rFonts w:ascii="Arial" w:hAnsi="Arial" w:cs="Arial"/>
        </w:rPr>
        <w:t xml:space="preserve"> y al apartado </w:t>
      </w:r>
      <w:r w:rsidR="005A51A0">
        <w:rPr>
          <w:rFonts w:ascii="Arial" w:hAnsi="Arial" w:cs="Arial"/>
        </w:rPr>
        <w:t>4</w:t>
      </w:r>
      <w:r w:rsidRPr="0040055E">
        <w:rPr>
          <w:rFonts w:ascii="Arial" w:hAnsi="Arial" w:cs="Arial"/>
        </w:rPr>
        <w:t>. «</w:t>
      </w:r>
      <w:r w:rsidR="005A51A0">
        <w:rPr>
          <w:rFonts w:ascii="Arial" w:hAnsi="Arial" w:cs="Arial"/>
        </w:rPr>
        <w:t xml:space="preserve">Descripción sucinta de la zona </w:t>
      </w:r>
      <w:r w:rsidR="00893AA3">
        <w:rPr>
          <w:rFonts w:ascii="Arial" w:hAnsi="Arial" w:cs="Arial"/>
        </w:rPr>
        <w:t>geográfica</w:t>
      </w:r>
      <w:r w:rsidR="00893AA3" w:rsidRPr="0040055E">
        <w:rPr>
          <w:rFonts w:ascii="Arial" w:hAnsi="Arial" w:cs="Arial"/>
        </w:rPr>
        <w:t>» del</w:t>
      </w:r>
      <w:r w:rsidRPr="0040055E">
        <w:rPr>
          <w:rFonts w:ascii="Arial" w:hAnsi="Arial" w:cs="Arial"/>
        </w:rPr>
        <w:t xml:space="preserve"> documento único.</w:t>
      </w:r>
      <w:r w:rsidR="005A51A0">
        <w:rPr>
          <w:rFonts w:ascii="Arial" w:hAnsi="Arial" w:cs="Arial"/>
        </w:rPr>
        <w:t xml:space="preserve"> </w:t>
      </w:r>
    </w:p>
    <w:p w14:paraId="6EE5637A" w14:textId="421D5D28" w:rsidR="008454E3" w:rsidRDefault="008454E3" w:rsidP="0040055E">
      <w:pPr>
        <w:jc w:val="both"/>
        <w:rPr>
          <w:rFonts w:ascii="Arial" w:hAnsi="Arial" w:cs="Arial"/>
        </w:rPr>
      </w:pPr>
      <w:r w:rsidRPr="0040055E">
        <w:rPr>
          <w:rFonts w:ascii="Arial" w:hAnsi="Arial" w:cs="Arial"/>
        </w:rPr>
        <w:t>En el pliego de condiciones</w:t>
      </w:r>
      <w:r w:rsidR="005A51A0">
        <w:rPr>
          <w:rFonts w:ascii="Arial" w:hAnsi="Arial" w:cs="Arial"/>
        </w:rPr>
        <w:t xml:space="preserve"> y documento único</w:t>
      </w:r>
      <w:r w:rsidRPr="0040055E">
        <w:rPr>
          <w:rFonts w:ascii="Arial" w:hAnsi="Arial" w:cs="Arial"/>
        </w:rPr>
        <w:t xml:space="preserve"> se </w:t>
      </w:r>
      <w:r w:rsidR="005A51A0">
        <w:rPr>
          <w:rFonts w:ascii="Arial" w:hAnsi="Arial" w:cs="Arial"/>
        </w:rPr>
        <w:t>incorporan los siguientes municipios, correspondientes a la provincia de Murcia: Mula y San Pedro del Pinatar.</w:t>
      </w:r>
    </w:p>
    <w:p w14:paraId="74FCD472" w14:textId="7C7207C1" w:rsidR="005A51A0" w:rsidRPr="0040055E" w:rsidRDefault="005A51A0" w:rsidP="0040055E">
      <w:pPr>
        <w:jc w:val="both"/>
        <w:rPr>
          <w:rFonts w:ascii="Arial" w:hAnsi="Arial" w:cs="Arial"/>
        </w:rPr>
      </w:pPr>
      <w:r>
        <w:rPr>
          <w:rFonts w:ascii="Arial" w:hAnsi="Arial" w:cs="Arial"/>
        </w:rPr>
        <w:t>Como consecuencia de la inclusión de estos municipios en los apartados referidos se procede a adecuar la redacción del vínculo.</w:t>
      </w:r>
    </w:p>
    <w:p w14:paraId="0D2D5ED8" w14:textId="77777777" w:rsidR="008454E3" w:rsidRDefault="008454E3" w:rsidP="0040055E">
      <w:pPr>
        <w:jc w:val="both"/>
        <w:rPr>
          <w:rFonts w:ascii="Arial" w:hAnsi="Arial" w:cs="Arial"/>
          <w:b/>
          <w:lang w:eastAsia="de-DE"/>
        </w:rPr>
      </w:pPr>
      <w:r w:rsidRPr="0040055E">
        <w:rPr>
          <w:rFonts w:ascii="Arial" w:hAnsi="Arial" w:cs="Arial"/>
          <w:b/>
          <w:lang w:eastAsia="de-DE"/>
        </w:rPr>
        <w:t>Justificación:</w:t>
      </w:r>
    </w:p>
    <w:p w14:paraId="312E7320" w14:textId="468CC219" w:rsidR="005A51A0" w:rsidRDefault="005A51A0" w:rsidP="0040055E">
      <w:pPr>
        <w:jc w:val="both"/>
        <w:rPr>
          <w:rFonts w:ascii="Arial" w:hAnsi="Arial" w:cs="Arial"/>
          <w:lang w:eastAsia="de-DE"/>
        </w:rPr>
      </w:pPr>
      <w:r>
        <w:rPr>
          <w:rFonts w:ascii="Arial" w:hAnsi="Arial" w:cs="Arial"/>
          <w:lang w:eastAsia="de-DE"/>
        </w:rPr>
        <w:t xml:space="preserve">Esta modificación obedece a la demanda de operadores inscritos en los registros del órgano de gestión. </w:t>
      </w:r>
    </w:p>
    <w:p w14:paraId="20FF1000" w14:textId="7D68BDC7" w:rsidR="005A51A0" w:rsidRDefault="005A51A0" w:rsidP="0040055E">
      <w:pPr>
        <w:jc w:val="both"/>
        <w:rPr>
          <w:rFonts w:ascii="Arial" w:hAnsi="Arial" w:cs="Arial"/>
          <w:lang w:eastAsia="de-DE"/>
        </w:rPr>
      </w:pPr>
      <w:r>
        <w:rPr>
          <w:rFonts w:ascii="Arial" w:hAnsi="Arial" w:cs="Arial"/>
          <w:lang w:eastAsia="de-DE"/>
        </w:rPr>
        <w:t xml:space="preserve">En el registro inicial de la figura de calidad DOP «Pimentón de Murcia» se establecía una descripción diferenciada entre la «zona de producción» y la «zona de elaboración y envasado». En la «zona de producción» se identificaban 14 municipios de la Región de Murcia, por el contrario, en la «zona de elaboración y envasado» se identificaban la totalidad de los municipios de la Región de Murcia “la zona de elaboración y envasado comprende todos los términos municipales de la provincia de Murcia”. Con la modificación de ampliación de </w:t>
      </w:r>
      <w:r w:rsidR="00062319">
        <w:rPr>
          <w:rFonts w:ascii="Arial" w:hAnsi="Arial" w:cs="Arial"/>
          <w:lang w:eastAsia="de-DE"/>
        </w:rPr>
        <w:t xml:space="preserve">la </w:t>
      </w:r>
      <w:r>
        <w:rPr>
          <w:rFonts w:ascii="Arial" w:hAnsi="Arial" w:cs="Arial"/>
          <w:lang w:eastAsia="de-DE"/>
        </w:rPr>
        <w:t xml:space="preserve">zona geográfica presentada en 2021 y aprobada en 2023 la zona geográfica de «producción» y de «elaboración y envasado» se equipararon sin advertir que algunos operadores </w:t>
      </w:r>
      <w:r w:rsidR="00062319">
        <w:rPr>
          <w:rFonts w:ascii="Arial" w:hAnsi="Arial" w:cs="Arial"/>
          <w:lang w:eastAsia="de-DE"/>
        </w:rPr>
        <w:t xml:space="preserve">elaboradores </w:t>
      </w:r>
      <w:r>
        <w:rPr>
          <w:rFonts w:ascii="Arial" w:hAnsi="Arial" w:cs="Arial"/>
          <w:lang w:eastAsia="de-DE"/>
        </w:rPr>
        <w:t xml:space="preserve">inscritos en </w:t>
      </w:r>
      <w:r w:rsidR="00C31448">
        <w:rPr>
          <w:rFonts w:ascii="Arial" w:hAnsi="Arial" w:cs="Arial"/>
          <w:lang w:eastAsia="de-DE"/>
        </w:rPr>
        <w:t xml:space="preserve">el </w:t>
      </w:r>
      <w:r>
        <w:rPr>
          <w:rFonts w:ascii="Arial" w:hAnsi="Arial" w:cs="Arial"/>
          <w:lang w:eastAsia="de-DE"/>
        </w:rPr>
        <w:t xml:space="preserve">órgano de gestión, ubicados en la Región de Murcia, quedaban excluidos. </w:t>
      </w:r>
    </w:p>
    <w:p w14:paraId="2FB8D396" w14:textId="585DCCA4" w:rsidR="00C31448" w:rsidRDefault="00C31448" w:rsidP="0040055E">
      <w:pPr>
        <w:jc w:val="both"/>
        <w:rPr>
          <w:rFonts w:ascii="Arial" w:hAnsi="Arial" w:cs="Arial"/>
          <w:lang w:eastAsia="de-DE"/>
        </w:rPr>
      </w:pPr>
      <w:r>
        <w:rPr>
          <w:rFonts w:ascii="Arial" w:hAnsi="Arial" w:cs="Arial"/>
          <w:lang w:eastAsia="de-DE"/>
        </w:rPr>
        <w:lastRenderedPageBreak/>
        <w:t>La zona que se pretende ampliar cuenta con una rica tradición en la producción y transformación de pimientos que se remonta a los años 60.</w:t>
      </w:r>
    </w:p>
    <w:p w14:paraId="235A6068" w14:textId="73B2126A" w:rsidR="00062319" w:rsidRDefault="00062319" w:rsidP="0040055E">
      <w:pPr>
        <w:jc w:val="both"/>
        <w:rPr>
          <w:rFonts w:ascii="Arial" w:hAnsi="Arial" w:cs="Arial"/>
          <w:lang w:eastAsia="de-DE"/>
        </w:rPr>
      </w:pPr>
      <w:r>
        <w:rPr>
          <w:rFonts w:ascii="Arial" w:hAnsi="Arial" w:cs="Arial"/>
          <w:lang w:eastAsia="de-DE"/>
        </w:rPr>
        <w:t>La región de Murcia siempre ha sido pionera en la industrialización del pimiento para obtener pimentón y en ella se desarrollan más de las tres cuartas partes de actividad del sector</w:t>
      </w:r>
      <w:r w:rsidR="00A04A4D">
        <w:rPr>
          <w:rFonts w:ascii="Arial" w:hAnsi="Arial" w:cs="Arial"/>
          <w:lang w:eastAsia="de-DE"/>
        </w:rPr>
        <w:t xml:space="preserve"> pimentonero español</w:t>
      </w:r>
      <w:r>
        <w:rPr>
          <w:rFonts w:ascii="Arial" w:hAnsi="Arial" w:cs="Arial"/>
          <w:lang w:eastAsia="de-DE"/>
        </w:rPr>
        <w:t>. Además cuenta con el conocimiento profundo del producto y de la forma óptima de elaborarlo de tal manera que conserve todas sus propiedades fisicoquímicas y organolépticas.</w:t>
      </w:r>
    </w:p>
    <w:p w14:paraId="398B2995" w14:textId="5644BD70" w:rsidR="005B3CF4" w:rsidRDefault="005B3CF4" w:rsidP="005B3CF4">
      <w:pPr>
        <w:pStyle w:val="Ttulo2"/>
        <w:rPr>
          <w:rFonts w:ascii="Arial" w:hAnsi="Arial" w:cs="Arial"/>
          <w:sz w:val="22"/>
          <w:szCs w:val="22"/>
          <w:lang w:val="es-ES"/>
        </w:rPr>
      </w:pPr>
      <w:r w:rsidRPr="005B3CF4">
        <w:rPr>
          <w:rFonts w:ascii="Arial" w:hAnsi="Arial" w:cs="Arial"/>
          <w:sz w:val="22"/>
          <w:szCs w:val="22"/>
          <w:lang w:val="es-ES"/>
        </w:rPr>
        <w:t xml:space="preserve">Modificación </w:t>
      </w:r>
      <w:r>
        <w:rPr>
          <w:rFonts w:ascii="Arial" w:hAnsi="Arial" w:cs="Arial"/>
          <w:sz w:val="22"/>
          <w:szCs w:val="22"/>
          <w:lang w:val="es-ES"/>
        </w:rPr>
        <w:t>del apartado G) Estructura de control.</w:t>
      </w:r>
    </w:p>
    <w:p w14:paraId="7F896DC3" w14:textId="301150F1" w:rsidR="005B3CF4" w:rsidRDefault="005B3CF4" w:rsidP="005B3CF4">
      <w:pPr>
        <w:rPr>
          <w:rFonts w:ascii="Arial" w:hAnsi="Arial" w:cs="Arial"/>
        </w:rPr>
      </w:pPr>
      <w:r w:rsidRPr="0040055E">
        <w:rPr>
          <w:rFonts w:ascii="Arial" w:hAnsi="Arial" w:cs="Arial"/>
        </w:rPr>
        <w:t>La presente modificación afecta a</w:t>
      </w:r>
      <w:r>
        <w:rPr>
          <w:rFonts w:ascii="Arial" w:hAnsi="Arial" w:cs="Arial"/>
        </w:rPr>
        <w:t xml:space="preserve"> </w:t>
      </w:r>
      <w:r w:rsidRPr="0040055E">
        <w:rPr>
          <w:rFonts w:ascii="Arial" w:hAnsi="Arial" w:cs="Arial"/>
        </w:rPr>
        <w:t>l</w:t>
      </w:r>
      <w:r>
        <w:rPr>
          <w:rFonts w:ascii="Arial" w:hAnsi="Arial" w:cs="Arial"/>
        </w:rPr>
        <w:t>a identificación de la estructura de control definida en el</w:t>
      </w:r>
      <w:r w:rsidRPr="0040055E">
        <w:rPr>
          <w:rFonts w:ascii="Arial" w:hAnsi="Arial" w:cs="Arial"/>
        </w:rPr>
        <w:t xml:space="preserve"> apartado </w:t>
      </w:r>
      <w:r>
        <w:rPr>
          <w:rFonts w:ascii="Arial" w:hAnsi="Arial" w:cs="Arial"/>
        </w:rPr>
        <w:t>G</w:t>
      </w:r>
      <w:r w:rsidRPr="0040055E">
        <w:rPr>
          <w:rFonts w:ascii="Arial" w:hAnsi="Arial" w:cs="Arial"/>
        </w:rPr>
        <w:t>)</w:t>
      </w:r>
      <w:r>
        <w:rPr>
          <w:rFonts w:ascii="Arial" w:hAnsi="Arial" w:cs="Arial"/>
        </w:rPr>
        <w:t xml:space="preserve"> «Estructura de control» del pliego de condiciones al no encontrase esta </w:t>
      </w:r>
      <w:r w:rsidR="00893AA3">
        <w:rPr>
          <w:rFonts w:ascii="Arial" w:hAnsi="Arial" w:cs="Arial"/>
        </w:rPr>
        <w:t>información actualizada</w:t>
      </w:r>
      <w:r>
        <w:rPr>
          <w:rFonts w:ascii="Arial" w:hAnsi="Arial" w:cs="Arial"/>
        </w:rPr>
        <w:t>.</w:t>
      </w:r>
    </w:p>
    <w:p w14:paraId="7F9D8D4D" w14:textId="51E2F515" w:rsidR="005B3CF4" w:rsidRDefault="005B3CF4" w:rsidP="005B3CF4">
      <w:pPr>
        <w:rPr>
          <w:rFonts w:ascii="Arial" w:hAnsi="Arial" w:cs="Arial"/>
          <w:b/>
        </w:rPr>
      </w:pPr>
      <w:r>
        <w:rPr>
          <w:rFonts w:ascii="Arial" w:hAnsi="Arial" w:cs="Arial"/>
          <w:b/>
        </w:rPr>
        <w:t>Justificación</w:t>
      </w:r>
    </w:p>
    <w:p w14:paraId="71A83B20" w14:textId="77777777" w:rsidR="00F03131" w:rsidRDefault="005B3CF4" w:rsidP="00F03131">
      <w:pPr>
        <w:rPr>
          <w:rFonts w:ascii="Arial" w:hAnsi="Arial" w:cs="Arial"/>
        </w:rPr>
      </w:pPr>
      <w:r w:rsidRPr="005B3CF4">
        <w:rPr>
          <w:rFonts w:ascii="Arial" w:hAnsi="Arial" w:cs="Arial"/>
        </w:rPr>
        <w:t>La estructura de control delegada por la autoridad competente se trata de una entidad privada acreditada en la norma UNE-EN ISO/IEC 17065. El Consejo Regulador ejerce sus funciones de órgano de gestión como corporación de derecho público.</w:t>
      </w:r>
    </w:p>
    <w:p w14:paraId="7F0FADAD" w14:textId="204DC147" w:rsidR="00F03131" w:rsidRDefault="00F03131" w:rsidP="00F03131">
      <w:pPr>
        <w:pStyle w:val="Ttulo2"/>
        <w:rPr>
          <w:rFonts w:ascii="Arial" w:hAnsi="Arial" w:cs="Arial"/>
          <w:sz w:val="22"/>
          <w:szCs w:val="22"/>
        </w:rPr>
      </w:pPr>
      <w:r w:rsidRPr="00F03131">
        <w:rPr>
          <w:rFonts w:ascii="Arial" w:hAnsi="Arial" w:cs="Arial"/>
          <w:sz w:val="22"/>
          <w:szCs w:val="22"/>
        </w:rPr>
        <w:t>Modificación del apartado F)  Factores</w:t>
      </w:r>
      <w:r w:rsidRPr="00F03131">
        <w:rPr>
          <w:rFonts w:ascii="Arial" w:hAnsi="Arial" w:cs="Arial"/>
          <w:sz w:val="22"/>
          <w:szCs w:val="22"/>
        </w:rPr>
        <w:tab/>
        <w:t>que</w:t>
      </w:r>
      <w:r>
        <w:rPr>
          <w:rFonts w:ascii="Arial" w:hAnsi="Arial" w:cs="Arial"/>
          <w:sz w:val="22"/>
          <w:szCs w:val="22"/>
        </w:rPr>
        <w:t xml:space="preserve"> </w:t>
      </w:r>
      <w:r w:rsidRPr="00F03131">
        <w:rPr>
          <w:rFonts w:ascii="Arial" w:hAnsi="Arial" w:cs="Arial"/>
          <w:sz w:val="22"/>
          <w:szCs w:val="22"/>
        </w:rPr>
        <w:t>acreditan</w:t>
      </w:r>
      <w:r>
        <w:rPr>
          <w:rFonts w:ascii="Arial" w:hAnsi="Arial" w:cs="Arial"/>
          <w:sz w:val="22"/>
          <w:szCs w:val="22"/>
        </w:rPr>
        <w:t xml:space="preserve"> </w:t>
      </w:r>
      <w:r w:rsidRPr="00F03131">
        <w:rPr>
          <w:rFonts w:ascii="Arial" w:hAnsi="Arial" w:cs="Arial"/>
          <w:sz w:val="22"/>
          <w:szCs w:val="22"/>
        </w:rPr>
        <w:t>el</w:t>
      </w:r>
      <w:r>
        <w:rPr>
          <w:rFonts w:ascii="Arial" w:hAnsi="Arial" w:cs="Arial"/>
          <w:sz w:val="22"/>
          <w:szCs w:val="22"/>
        </w:rPr>
        <w:t xml:space="preserve"> </w:t>
      </w:r>
      <w:r w:rsidRPr="00F03131">
        <w:rPr>
          <w:rFonts w:ascii="Arial" w:hAnsi="Arial" w:cs="Arial"/>
          <w:sz w:val="22"/>
          <w:szCs w:val="22"/>
        </w:rPr>
        <w:t>vínculo</w:t>
      </w:r>
      <w:r>
        <w:rPr>
          <w:rFonts w:ascii="Arial" w:hAnsi="Arial" w:cs="Arial"/>
          <w:sz w:val="22"/>
          <w:szCs w:val="22"/>
        </w:rPr>
        <w:t xml:space="preserve"> </w:t>
      </w:r>
      <w:r w:rsidRPr="00F03131">
        <w:rPr>
          <w:rFonts w:ascii="Arial" w:hAnsi="Arial" w:cs="Arial"/>
          <w:sz w:val="22"/>
          <w:szCs w:val="22"/>
        </w:rPr>
        <w:t>con</w:t>
      </w:r>
      <w:r>
        <w:rPr>
          <w:rFonts w:ascii="Arial" w:hAnsi="Arial" w:cs="Arial"/>
          <w:sz w:val="22"/>
          <w:szCs w:val="22"/>
        </w:rPr>
        <w:t xml:space="preserve"> </w:t>
      </w:r>
      <w:r w:rsidRPr="00F03131">
        <w:rPr>
          <w:rFonts w:ascii="Arial" w:hAnsi="Arial" w:cs="Arial"/>
          <w:sz w:val="22"/>
          <w:szCs w:val="22"/>
        </w:rPr>
        <w:t>el</w:t>
      </w:r>
      <w:r>
        <w:rPr>
          <w:rFonts w:ascii="Arial" w:hAnsi="Arial" w:cs="Arial"/>
          <w:sz w:val="22"/>
          <w:szCs w:val="22"/>
        </w:rPr>
        <w:t xml:space="preserve"> </w:t>
      </w:r>
      <w:r w:rsidRPr="00F03131">
        <w:rPr>
          <w:rFonts w:ascii="Arial" w:hAnsi="Arial" w:cs="Arial"/>
          <w:spacing w:val="-1"/>
          <w:sz w:val="22"/>
          <w:szCs w:val="22"/>
        </w:rPr>
        <w:t xml:space="preserve">medio </w:t>
      </w:r>
      <w:r w:rsidRPr="00F03131">
        <w:rPr>
          <w:rFonts w:ascii="Arial" w:hAnsi="Arial" w:cs="Arial"/>
          <w:spacing w:val="-64"/>
          <w:sz w:val="22"/>
          <w:szCs w:val="22"/>
        </w:rPr>
        <w:t xml:space="preserve">   </w:t>
      </w:r>
      <w:r w:rsidRPr="00F03131">
        <w:rPr>
          <w:rFonts w:ascii="Arial" w:hAnsi="Arial" w:cs="Arial"/>
          <w:sz w:val="22"/>
          <w:szCs w:val="22"/>
        </w:rPr>
        <w:t>geográfico. Influencia del medio en</w:t>
      </w:r>
      <w:r w:rsidRPr="00F03131">
        <w:rPr>
          <w:rFonts w:ascii="Arial" w:hAnsi="Arial" w:cs="Arial"/>
          <w:spacing w:val="-2"/>
          <w:sz w:val="22"/>
          <w:szCs w:val="22"/>
        </w:rPr>
        <w:t xml:space="preserve"> </w:t>
      </w:r>
      <w:r w:rsidRPr="00F03131">
        <w:rPr>
          <w:rFonts w:ascii="Arial" w:hAnsi="Arial" w:cs="Arial"/>
          <w:sz w:val="22"/>
          <w:szCs w:val="22"/>
        </w:rPr>
        <w:t>el</w:t>
      </w:r>
      <w:r w:rsidRPr="00F03131">
        <w:rPr>
          <w:rFonts w:ascii="Arial" w:hAnsi="Arial" w:cs="Arial"/>
          <w:spacing w:val="2"/>
          <w:sz w:val="22"/>
          <w:szCs w:val="22"/>
        </w:rPr>
        <w:t xml:space="preserve"> </w:t>
      </w:r>
      <w:r w:rsidRPr="00F03131">
        <w:rPr>
          <w:rFonts w:ascii="Arial" w:hAnsi="Arial" w:cs="Arial"/>
          <w:sz w:val="22"/>
          <w:szCs w:val="22"/>
        </w:rPr>
        <w:t>producto.</w:t>
      </w:r>
    </w:p>
    <w:p w14:paraId="592DF17D" w14:textId="00DC295D" w:rsidR="00523CB3" w:rsidRDefault="00523CB3" w:rsidP="00523CB3">
      <w:pPr>
        <w:rPr>
          <w:rFonts w:ascii="Arial" w:hAnsi="Arial" w:cs="Arial"/>
        </w:rPr>
      </w:pPr>
      <w:r w:rsidRPr="0040055E">
        <w:rPr>
          <w:rFonts w:ascii="Arial" w:hAnsi="Arial" w:cs="Arial"/>
        </w:rPr>
        <w:t>La presente modificación afecta a</w:t>
      </w:r>
      <w:r>
        <w:rPr>
          <w:rFonts w:ascii="Arial" w:hAnsi="Arial" w:cs="Arial"/>
        </w:rPr>
        <w:t xml:space="preserve"> </w:t>
      </w:r>
      <w:r w:rsidRPr="0040055E">
        <w:rPr>
          <w:rFonts w:ascii="Arial" w:hAnsi="Arial" w:cs="Arial"/>
        </w:rPr>
        <w:t>l</w:t>
      </w:r>
      <w:r>
        <w:rPr>
          <w:rFonts w:ascii="Arial" w:hAnsi="Arial" w:cs="Arial"/>
        </w:rPr>
        <w:t>a redacción del</w:t>
      </w:r>
      <w:r w:rsidRPr="0040055E">
        <w:rPr>
          <w:rFonts w:ascii="Arial" w:hAnsi="Arial" w:cs="Arial"/>
        </w:rPr>
        <w:t xml:space="preserve"> apartado </w:t>
      </w:r>
      <w:r w:rsidRPr="00F03131">
        <w:rPr>
          <w:rFonts w:ascii="Arial" w:hAnsi="Arial" w:cs="Arial"/>
        </w:rPr>
        <w:t>F)  Factores</w:t>
      </w:r>
      <w:r w:rsidRPr="00F03131">
        <w:rPr>
          <w:rFonts w:ascii="Arial" w:hAnsi="Arial" w:cs="Arial"/>
        </w:rPr>
        <w:tab/>
        <w:t>que</w:t>
      </w:r>
      <w:r>
        <w:rPr>
          <w:rFonts w:ascii="Arial" w:hAnsi="Arial" w:cs="Arial"/>
        </w:rPr>
        <w:t xml:space="preserve"> </w:t>
      </w:r>
      <w:r w:rsidRPr="00F03131">
        <w:rPr>
          <w:rFonts w:ascii="Arial" w:hAnsi="Arial" w:cs="Arial"/>
        </w:rPr>
        <w:t>acreditan</w:t>
      </w:r>
      <w:r>
        <w:rPr>
          <w:rFonts w:ascii="Arial" w:hAnsi="Arial" w:cs="Arial"/>
        </w:rPr>
        <w:t xml:space="preserve"> </w:t>
      </w:r>
      <w:r w:rsidRPr="00F03131">
        <w:rPr>
          <w:rFonts w:ascii="Arial" w:hAnsi="Arial" w:cs="Arial"/>
        </w:rPr>
        <w:t>el</w:t>
      </w:r>
      <w:r>
        <w:rPr>
          <w:rFonts w:ascii="Arial" w:hAnsi="Arial" w:cs="Arial"/>
        </w:rPr>
        <w:t xml:space="preserve"> </w:t>
      </w:r>
      <w:r w:rsidRPr="00F03131">
        <w:rPr>
          <w:rFonts w:ascii="Arial" w:hAnsi="Arial" w:cs="Arial"/>
        </w:rPr>
        <w:t>vínculo</w:t>
      </w:r>
      <w:r>
        <w:rPr>
          <w:rFonts w:ascii="Arial" w:hAnsi="Arial" w:cs="Arial"/>
        </w:rPr>
        <w:t xml:space="preserve"> </w:t>
      </w:r>
      <w:r w:rsidRPr="00F03131">
        <w:rPr>
          <w:rFonts w:ascii="Arial" w:hAnsi="Arial" w:cs="Arial"/>
        </w:rPr>
        <w:t>con</w:t>
      </w:r>
      <w:r>
        <w:rPr>
          <w:rFonts w:ascii="Arial" w:hAnsi="Arial" w:cs="Arial"/>
        </w:rPr>
        <w:t xml:space="preserve"> </w:t>
      </w:r>
      <w:r w:rsidRPr="00F03131">
        <w:rPr>
          <w:rFonts w:ascii="Arial" w:hAnsi="Arial" w:cs="Arial"/>
        </w:rPr>
        <w:t>el</w:t>
      </w:r>
      <w:r>
        <w:rPr>
          <w:rFonts w:ascii="Arial" w:hAnsi="Arial" w:cs="Arial"/>
        </w:rPr>
        <w:t xml:space="preserve"> </w:t>
      </w:r>
      <w:r w:rsidRPr="00F03131">
        <w:rPr>
          <w:rFonts w:ascii="Arial" w:hAnsi="Arial" w:cs="Arial"/>
          <w:spacing w:val="-1"/>
        </w:rPr>
        <w:t xml:space="preserve">medio </w:t>
      </w:r>
      <w:r w:rsidRPr="00F03131">
        <w:rPr>
          <w:rFonts w:ascii="Arial" w:hAnsi="Arial" w:cs="Arial"/>
          <w:spacing w:val="-64"/>
        </w:rPr>
        <w:t xml:space="preserve">   </w:t>
      </w:r>
      <w:r w:rsidRPr="00F03131">
        <w:rPr>
          <w:rFonts w:ascii="Arial" w:hAnsi="Arial" w:cs="Arial"/>
        </w:rPr>
        <w:t>geográfico. Influencia del medio en</w:t>
      </w:r>
      <w:r w:rsidRPr="00F03131">
        <w:rPr>
          <w:rFonts w:ascii="Arial" w:hAnsi="Arial" w:cs="Arial"/>
          <w:spacing w:val="-2"/>
        </w:rPr>
        <w:t xml:space="preserve"> </w:t>
      </w:r>
      <w:r w:rsidRPr="00F03131">
        <w:rPr>
          <w:rFonts w:ascii="Arial" w:hAnsi="Arial" w:cs="Arial"/>
        </w:rPr>
        <w:t>el</w:t>
      </w:r>
      <w:r w:rsidRPr="00F03131">
        <w:rPr>
          <w:rFonts w:ascii="Arial" w:hAnsi="Arial" w:cs="Arial"/>
          <w:spacing w:val="2"/>
        </w:rPr>
        <w:t xml:space="preserve"> </w:t>
      </w:r>
      <w:r w:rsidRPr="00F03131">
        <w:rPr>
          <w:rFonts w:ascii="Arial" w:hAnsi="Arial" w:cs="Arial"/>
        </w:rPr>
        <w:t>producto</w:t>
      </w:r>
      <w:r>
        <w:rPr>
          <w:rFonts w:ascii="Arial" w:hAnsi="Arial" w:cs="Arial"/>
        </w:rPr>
        <w:t xml:space="preserve"> y al punto 5)  Vínculo con la zona geográfica del Documento Único.</w:t>
      </w:r>
    </w:p>
    <w:p w14:paraId="655B4D5E" w14:textId="165F9DB8" w:rsidR="00F03131" w:rsidRDefault="00F03131" w:rsidP="00F03131">
      <w:pPr>
        <w:rPr>
          <w:rFonts w:ascii="Arial" w:hAnsi="Arial" w:cs="Arial"/>
          <w:b/>
          <w:bCs/>
          <w:lang w:val="en-GB" w:eastAsia="de-DE"/>
        </w:rPr>
      </w:pPr>
      <w:r w:rsidRPr="00F03131">
        <w:rPr>
          <w:rFonts w:ascii="Arial" w:hAnsi="Arial" w:cs="Arial"/>
          <w:b/>
          <w:bCs/>
          <w:lang w:val="en-GB" w:eastAsia="de-DE"/>
        </w:rPr>
        <w:t>Justificación:</w:t>
      </w:r>
    </w:p>
    <w:p w14:paraId="240F174C" w14:textId="633D8438" w:rsidR="00F03131" w:rsidRDefault="00F03131" w:rsidP="00F03131">
      <w:pPr>
        <w:rPr>
          <w:rFonts w:ascii="Arial" w:hAnsi="Arial" w:cs="Arial"/>
          <w:lang w:eastAsia="de-DE"/>
        </w:rPr>
      </w:pPr>
      <w:r>
        <w:rPr>
          <w:rFonts w:ascii="Arial" w:hAnsi="Arial" w:cs="Arial"/>
          <w:lang w:eastAsia="de-DE"/>
        </w:rPr>
        <w:t>La región de Murcia siempre ha sido pionera en la industrialización del pimiento para obtener pimentón y en ella se desarrollan más de las tres cuartas partes de actividad del sector</w:t>
      </w:r>
      <w:r w:rsidR="00A04A4D">
        <w:rPr>
          <w:rFonts w:ascii="Arial" w:hAnsi="Arial" w:cs="Arial"/>
          <w:lang w:eastAsia="de-DE"/>
        </w:rPr>
        <w:t xml:space="preserve"> pimentonero español</w:t>
      </w:r>
      <w:r w:rsidR="00523CB3">
        <w:rPr>
          <w:rFonts w:ascii="Arial" w:hAnsi="Arial" w:cs="Arial"/>
          <w:lang w:eastAsia="de-DE"/>
        </w:rPr>
        <w:t>.</w:t>
      </w:r>
    </w:p>
    <w:p w14:paraId="34657E3D" w14:textId="77777777" w:rsidR="00523CB3" w:rsidRDefault="00523CB3" w:rsidP="00523CB3">
      <w:pPr>
        <w:jc w:val="both"/>
        <w:rPr>
          <w:rFonts w:ascii="Arial" w:hAnsi="Arial" w:cs="Arial"/>
          <w:lang w:val="en-GB" w:eastAsia="de-DE"/>
        </w:rPr>
      </w:pPr>
      <w:r w:rsidRPr="00F03131">
        <w:rPr>
          <w:rFonts w:ascii="Arial" w:hAnsi="Arial" w:cs="Arial"/>
          <w:lang w:val="en-GB" w:eastAsia="de-DE"/>
        </w:rPr>
        <w:t>La presente modificación pone en valor el saber hacer de las industrias productoras de pimentón de la Región de Murcia que permiten</w:t>
      </w:r>
      <w:r>
        <w:rPr>
          <w:rFonts w:ascii="Arial" w:hAnsi="Arial" w:cs="Arial"/>
          <w:lang w:val="en-GB" w:eastAsia="de-DE"/>
        </w:rPr>
        <w:t>,</w:t>
      </w:r>
      <w:r w:rsidRPr="00F03131">
        <w:rPr>
          <w:rFonts w:ascii="Arial" w:hAnsi="Arial" w:cs="Arial"/>
          <w:lang w:val="en-GB" w:eastAsia="de-DE"/>
        </w:rPr>
        <w:t xml:space="preserve"> gracias a su profundo conocimiento</w:t>
      </w:r>
      <w:r>
        <w:rPr>
          <w:rFonts w:ascii="Arial" w:hAnsi="Arial" w:cs="Arial"/>
          <w:lang w:val="en-GB" w:eastAsia="de-DE"/>
        </w:rPr>
        <w:t xml:space="preserve"> </w:t>
      </w:r>
      <w:r w:rsidRPr="00F03131">
        <w:rPr>
          <w:rFonts w:ascii="Arial" w:hAnsi="Arial" w:cs="Arial"/>
          <w:lang w:val="en-GB" w:eastAsia="de-DE"/>
        </w:rPr>
        <w:t>del pimiento como materia prima</w:t>
      </w:r>
      <w:r>
        <w:rPr>
          <w:rFonts w:ascii="Arial" w:hAnsi="Arial" w:cs="Arial"/>
          <w:lang w:val="en-GB" w:eastAsia="de-DE"/>
        </w:rPr>
        <w:t>,</w:t>
      </w:r>
      <w:r w:rsidRPr="00F03131">
        <w:rPr>
          <w:rFonts w:ascii="Arial" w:hAnsi="Arial" w:cs="Arial"/>
          <w:lang w:val="en-GB" w:eastAsia="de-DE"/>
        </w:rPr>
        <w:t xml:space="preserve"> mantener sus cualidades físico-químicas y</w:t>
      </w:r>
      <w:r>
        <w:rPr>
          <w:rFonts w:ascii="Arial" w:hAnsi="Arial" w:cs="Arial"/>
          <w:lang w:val="en-GB" w:eastAsia="de-DE"/>
        </w:rPr>
        <w:t xml:space="preserve"> </w:t>
      </w:r>
      <w:r w:rsidRPr="00F03131">
        <w:rPr>
          <w:rFonts w:ascii="Arial" w:hAnsi="Arial" w:cs="Arial"/>
          <w:lang w:val="en-GB" w:eastAsia="de-DE"/>
        </w:rPr>
        <w:t>organolépticas durante la elaboración del pimentón.</w:t>
      </w:r>
    </w:p>
    <w:p w14:paraId="2626EC8A" w14:textId="77777777" w:rsidR="00F03131" w:rsidRDefault="00F03131" w:rsidP="00F03131">
      <w:pPr>
        <w:pStyle w:val="Ttulo2"/>
        <w:numPr>
          <w:ilvl w:val="0"/>
          <w:numId w:val="0"/>
        </w:numPr>
        <w:rPr>
          <w:rFonts w:ascii="Arial" w:hAnsi="Arial" w:cs="Arial"/>
          <w:sz w:val="22"/>
          <w:szCs w:val="22"/>
          <w:lang w:val="es-ES"/>
        </w:rPr>
      </w:pPr>
    </w:p>
    <w:p w14:paraId="785BDF4E" w14:textId="1786B6FE" w:rsidR="005B3CF4" w:rsidRDefault="005B3CF4" w:rsidP="005B3CF4">
      <w:pPr>
        <w:pStyle w:val="Ttulo2"/>
        <w:rPr>
          <w:rFonts w:ascii="Arial" w:hAnsi="Arial" w:cs="Arial"/>
          <w:sz w:val="22"/>
          <w:szCs w:val="22"/>
          <w:lang w:val="es-ES"/>
        </w:rPr>
      </w:pPr>
      <w:r w:rsidRPr="005B3CF4">
        <w:rPr>
          <w:rFonts w:ascii="Arial" w:hAnsi="Arial" w:cs="Arial"/>
          <w:sz w:val="22"/>
          <w:szCs w:val="22"/>
          <w:lang w:val="es-ES"/>
        </w:rPr>
        <w:t xml:space="preserve">Modificación del apartado H) </w:t>
      </w:r>
      <w:r>
        <w:rPr>
          <w:rFonts w:ascii="Arial" w:hAnsi="Arial" w:cs="Arial"/>
          <w:sz w:val="22"/>
          <w:szCs w:val="22"/>
          <w:lang w:val="es-ES"/>
        </w:rPr>
        <w:t>«</w:t>
      </w:r>
      <w:r w:rsidRPr="005B3CF4">
        <w:rPr>
          <w:rFonts w:ascii="Arial" w:hAnsi="Arial" w:cs="Arial"/>
          <w:sz w:val="22"/>
          <w:szCs w:val="22"/>
          <w:lang w:val="es-ES"/>
        </w:rPr>
        <w:t>Elementos del etiquetado vinculados a la denominación de origen</w:t>
      </w:r>
      <w:r>
        <w:rPr>
          <w:rFonts w:ascii="Arial" w:hAnsi="Arial" w:cs="Arial"/>
          <w:sz w:val="22"/>
          <w:szCs w:val="22"/>
          <w:lang w:val="es-ES"/>
        </w:rPr>
        <w:t>»</w:t>
      </w:r>
      <w:r w:rsidRPr="005B3CF4">
        <w:rPr>
          <w:rFonts w:ascii="Arial" w:hAnsi="Arial" w:cs="Arial"/>
          <w:sz w:val="22"/>
          <w:szCs w:val="22"/>
          <w:lang w:val="es-ES"/>
        </w:rPr>
        <w:t xml:space="preserve">. </w:t>
      </w:r>
    </w:p>
    <w:p w14:paraId="74DA8DBF" w14:textId="63206D97" w:rsidR="005B3CF4" w:rsidRDefault="005B3CF4" w:rsidP="005B3CF4">
      <w:pPr>
        <w:jc w:val="both"/>
        <w:rPr>
          <w:rFonts w:ascii="Arial" w:hAnsi="Arial" w:cs="Arial"/>
        </w:rPr>
      </w:pPr>
      <w:r w:rsidRPr="0040055E">
        <w:rPr>
          <w:rFonts w:ascii="Arial" w:hAnsi="Arial" w:cs="Arial"/>
        </w:rPr>
        <w:t xml:space="preserve">La presente modificación afecta al apartado </w:t>
      </w:r>
      <w:r>
        <w:rPr>
          <w:rFonts w:ascii="Arial" w:hAnsi="Arial" w:cs="Arial"/>
        </w:rPr>
        <w:t>H</w:t>
      </w:r>
      <w:r w:rsidRPr="0040055E">
        <w:rPr>
          <w:rFonts w:ascii="Arial" w:hAnsi="Arial" w:cs="Arial"/>
        </w:rPr>
        <w:t>) «</w:t>
      </w:r>
      <w:r w:rsidRPr="005B3CF4">
        <w:rPr>
          <w:rFonts w:ascii="Arial" w:hAnsi="Arial" w:cs="Arial"/>
        </w:rPr>
        <w:t xml:space="preserve">«Elementos del etiquetado vinculados a la denominación de origen». </w:t>
      </w:r>
      <w:r>
        <w:rPr>
          <w:rFonts w:ascii="Arial" w:hAnsi="Arial" w:cs="Arial"/>
        </w:rPr>
        <w:t>» del pliego de condiciones</w:t>
      </w:r>
      <w:r w:rsidRPr="0040055E">
        <w:rPr>
          <w:rFonts w:ascii="Arial" w:hAnsi="Arial" w:cs="Arial"/>
        </w:rPr>
        <w:t xml:space="preserve"> y al apartado </w:t>
      </w:r>
      <w:r>
        <w:rPr>
          <w:rFonts w:ascii="Arial" w:hAnsi="Arial" w:cs="Arial"/>
        </w:rPr>
        <w:t>3.5.</w:t>
      </w:r>
      <w:r w:rsidRPr="0040055E">
        <w:rPr>
          <w:rFonts w:ascii="Arial" w:hAnsi="Arial" w:cs="Arial"/>
        </w:rPr>
        <w:t>.«</w:t>
      </w:r>
      <w:r w:rsidRPr="005B3CF4">
        <w:t xml:space="preserve"> </w:t>
      </w:r>
      <w:r w:rsidRPr="005B3CF4">
        <w:rPr>
          <w:rFonts w:ascii="Arial" w:hAnsi="Arial" w:cs="Arial"/>
        </w:rPr>
        <w:t xml:space="preserve">Normas especiales sobre el etiquetado del producto al que se refiere el nombre registrado </w:t>
      </w:r>
      <w:r w:rsidRPr="0040055E">
        <w:rPr>
          <w:rFonts w:ascii="Arial" w:hAnsi="Arial" w:cs="Arial"/>
        </w:rPr>
        <w:t>»  del documento único</w:t>
      </w:r>
      <w:r>
        <w:rPr>
          <w:rFonts w:ascii="Arial" w:hAnsi="Arial" w:cs="Arial"/>
        </w:rPr>
        <w:t>.</w:t>
      </w:r>
    </w:p>
    <w:p w14:paraId="2E8FE1C0" w14:textId="53EB142E" w:rsidR="005B3CF4" w:rsidRDefault="005B3CF4" w:rsidP="005B3CF4">
      <w:pPr>
        <w:jc w:val="both"/>
        <w:rPr>
          <w:rFonts w:ascii="Arial" w:hAnsi="Arial" w:cs="Arial"/>
        </w:rPr>
      </w:pPr>
      <w:r>
        <w:rPr>
          <w:rFonts w:ascii="Arial" w:hAnsi="Arial" w:cs="Arial"/>
        </w:rPr>
        <w:t>Se incorpora las alternativas a las menciones obligatorias relativas a la DOP Pimentón de Murcia permitiendo el uso de: «Denominación de Origen Protegida Pimentón de Murcia» y «DOP Pimentón de Murcia».</w:t>
      </w:r>
    </w:p>
    <w:p w14:paraId="2F9A779A" w14:textId="68FD2B21" w:rsidR="005B3CF4" w:rsidRPr="005B3CF4" w:rsidRDefault="005B3CF4" w:rsidP="005B3CF4">
      <w:pPr>
        <w:jc w:val="both"/>
        <w:rPr>
          <w:rFonts w:ascii="Arial" w:hAnsi="Arial" w:cs="Arial"/>
          <w:b/>
        </w:rPr>
      </w:pPr>
      <w:r w:rsidRPr="005B3CF4">
        <w:rPr>
          <w:rFonts w:ascii="Arial" w:hAnsi="Arial" w:cs="Arial"/>
          <w:b/>
        </w:rPr>
        <w:t>Justificación</w:t>
      </w:r>
    </w:p>
    <w:p w14:paraId="4F8CD611" w14:textId="6B958BC8" w:rsidR="005B3CF4" w:rsidRDefault="005B3CF4" w:rsidP="005B3CF4">
      <w:pPr>
        <w:jc w:val="both"/>
        <w:rPr>
          <w:rFonts w:ascii="Arial" w:hAnsi="Arial" w:cs="Arial"/>
        </w:rPr>
      </w:pPr>
      <w:r w:rsidRPr="005B3CF4">
        <w:rPr>
          <w:rFonts w:ascii="Arial" w:hAnsi="Arial" w:cs="Arial"/>
        </w:rPr>
        <w:t xml:space="preserve">En la actualidad los productos de calidad diferenciada registrados como denominación de origen son conocidos principalmente por sus siglas DOP. La restricción de uso que el pliego de condiciones establece dificulta incluir en el continente de la etiqueta frontal tantos elementos debido a que los envases son, en su inmensa mayoría, pequeños. La </w:t>
      </w:r>
      <w:r w:rsidRPr="005B3CF4">
        <w:rPr>
          <w:rFonts w:ascii="Arial" w:hAnsi="Arial" w:cs="Arial"/>
        </w:rPr>
        <w:lastRenderedPageBreak/>
        <w:t>posibilidad de incluir junto a la identificación de Pimentón de Murcia la abreviatura DOP facilita la labor de diseño de etiquetado sin perjuicio de la identificación del producto.</w:t>
      </w:r>
    </w:p>
    <w:p w14:paraId="470161DD" w14:textId="44512DEC" w:rsidR="00523CB3" w:rsidRPr="00523CB3" w:rsidRDefault="00523CB3" w:rsidP="00523CB3">
      <w:pPr>
        <w:pStyle w:val="Ttulo2"/>
        <w:rPr>
          <w:rFonts w:ascii="Arial" w:hAnsi="Arial" w:cs="Arial"/>
          <w:sz w:val="22"/>
          <w:szCs w:val="22"/>
        </w:rPr>
      </w:pPr>
      <w:r w:rsidRPr="00523CB3">
        <w:rPr>
          <w:rFonts w:ascii="Arial" w:hAnsi="Arial" w:cs="Arial"/>
          <w:sz w:val="22"/>
          <w:szCs w:val="22"/>
        </w:rPr>
        <w:t>Eliminación del apartado I. del pliego de condiciones. Requisitos que deben cumplirse en virtud de las disposiciones comunitarias y/o nacionales.</w:t>
      </w:r>
    </w:p>
    <w:sectPr w:rsidR="00523CB3" w:rsidRPr="00523C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FE2"/>
    <w:multiLevelType w:val="hybridMultilevel"/>
    <w:tmpl w:val="EB4444C8"/>
    <w:lvl w:ilvl="0" w:tplc="61241BA6">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FC3DC5"/>
    <w:multiLevelType w:val="hybridMultilevel"/>
    <w:tmpl w:val="BA1697B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676BF8"/>
    <w:multiLevelType w:val="hybridMultilevel"/>
    <w:tmpl w:val="AA4CA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A158F"/>
    <w:multiLevelType w:val="hybridMultilevel"/>
    <w:tmpl w:val="1F10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F0033A"/>
    <w:multiLevelType w:val="hybridMultilevel"/>
    <w:tmpl w:val="03FAD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A59C1"/>
    <w:multiLevelType w:val="hybridMultilevel"/>
    <w:tmpl w:val="37C03EF4"/>
    <w:lvl w:ilvl="0" w:tplc="61241BA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2E226A"/>
    <w:multiLevelType w:val="hybridMultilevel"/>
    <w:tmpl w:val="E10ACF80"/>
    <w:lvl w:ilvl="0" w:tplc="61241BA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9F1C76"/>
    <w:multiLevelType w:val="hybridMultilevel"/>
    <w:tmpl w:val="145AFF58"/>
    <w:lvl w:ilvl="0" w:tplc="9B80100A">
      <w:numFmt w:val="bullet"/>
      <w:lvlText w:val=""/>
      <w:lvlJc w:val="left"/>
      <w:pPr>
        <w:ind w:left="809" w:hanging="284"/>
      </w:pPr>
      <w:rPr>
        <w:rFonts w:ascii="Symbol" w:eastAsia="Symbol" w:hAnsi="Symbol" w:cs="Symbol" w:hint="default"/>
        <w:w w:val="100"/>
        <w:sz w:val="24"/>
        <w:szCs w:val="24"/>
        <w:lang w:val="es-ES" w:eastAsia="en-US" w:bidi="ar-SA"/>
      </w:rPr>
    </w:lvl>
    <w:lvl w:ilvl="1" w:tplc="A8848116">
      <w:numFmt w:val="bullet"/>
      <w:lvlText w:val="•"/>
      <w:lvlJc w:val="left"/>
      <w:pPr>
        <w:ind w:left="1704" w:hanging="284"/>
      </w:pPr>
      <w:rPr>
        <w:rFonts w:hint="default"/>
        <w:lang w:val="es-ES" w:eastAsia="en-US" w:bidi="ar-SA"/>
      </w:rPr>
    </w:lvl>
    <w:lvl w:ilvl="2" w:tplc="B2A2878E">
      <w:numFmt w:val="bullet"/>
      <w:lvlText w:val="•"/>
      <w:lvlJc w:val="left"/>
      <w:pPr>
        <w:ind w:left="2609" w:hanging="284"/>
      </w:pPr>
      <w:rPr>
        <w:rFonts w:hint="default"/>
        <w:lang w:val="es-ES" w:eastAsia="en-US" w:bidi="ar-SA"/>
      </w:rPr>
    </w:lvl>
    <w:lvl w:ilvl="3" w:tplc="FB8247B8">
      <w:numFmt w:val="bullet"/>
      <w:lvlText w:val="•"/>
      <w:lvlJc w:val="left"/>
      <w:pPr>
        <w:ind w:left="3513" w:hanging="284"/>
      </w:pPr>
      <w:rPr>
        <w:rFonts w:hint="default"/>
        <w:lang w:val="es-ES" w:eastAsia="en-US" w:bidi="ar-SA"/>
      </w:rPr>
    </w:lvl>
    <w:lvl w:ilvl="4" w:tplc="F0ACAF64">
      <w:numFmt w:val="bullet"/>
      <w:lvlText w:val="•"/>
      <w:lvlJc w:val="left"/>
      <w:pPr>
        <w:ind w:left="4418" w:hanging="284"/>
      </w:pPr>
      <w:rPr>
        <w:rFonts w:hint="default"/>
        <w:lang w:val="es-ES" w:eastAsia="en-US" w:bidi="ar-SA"/>
      </w:rPr>
    </w:lvl>
    <w:lvl w:ilvl="5" w:tplc="2B9A3D76">
      <w:numFmt w:val="bullet"/>
      <w:lvlText w:val="•"/>
      <w:lvlJc w:val="left"/>
      <w:pPr>
        <w:ind w:left="5323" w:hanging="284"/>
      </w:pPr>
      <w:rPr>
        <w:rFonts w:hint="default"/>
        <w:lang w:val="es-ES" w:eastAsia="en-US" w:bidi="ar-SA"/>
      </w:rPr>
    </w:lvl>
    <w:lvl w:ilvl="6" w:tplc="65F8549C">
      <w:numFmt w:val="bullet"/>
      <w:lvlText w:val="•"/>
      <w:lvlJc w:val="left"/>
      <w:pPr>
        <w:ind w:left="6227" w:hanging="284"/>
      </w:pPr>
      <w:rPr>
        <w:rFonts w:hint="default"/>
        <w:lang w:val="es-ES" w:eastAsia="en-US" w:bidi="ar-SA"/>
      </w:rPr>
    </w:lvl>
    <w:lvl w:ilvl="7" w:tplc="79845268">
      <w:numFmt w:val="bullet"/>
      <w:lvlText w:val="•"/>
      <w:lvlJc w:val="left"/>
      <w:pPr>
        <w:ind w:left="7132" w:hanging="284"/>
      </w:pPr>
      <w:rPr>
        <w:rFonts w:hint="default"/>
        <w:lang w:val="es-ES" w:eastAsia="en-US" w:bidi="ar-SA"/>
      </w:rPr>
    </w:lvl>
    <w:lvl w:ilvl="8" w:tplc="D4FC7434">
      <w:numFmt w:val="bullet"/>
      <w:lvlText w:val="•"/>
      <w:lvlJc w:val="left"/>
      <w:pPr>
        <w:ind w:left="8037" w:hanging="284"/>
      </w:pPr>
      <w:rPr>
        <w:rFonts w:hint="default"/>
        <w:lang w:val="es-ES" w:eastAsia="en-US" w:bidi="ar-SA"/>
      </w:rPr>
    </w:lvl>
  </w:abstractNum>
  <w:abstractNum w:abstractNumId="8" w15:restartNumberingAfterBreak="0">
    <w:nsid w:val="56CB74B4"/>
    <w:multiLevelType w:val="multilevel"/>
    <w:tmpl w:val="8FFADDA4"/>
    <w:name w:val="Heading"/>
    <w:lvl w:ilvl="0">
      <w:start w:val="1"/>
      <w:numFmt w:val="decimal"/>
      <w:lvlRestart w:val="0"/>
      <w:pStyle w:val="Ttulo1"/>
      <w:lvlText w:val="%1."/>
      <w:lvlJc w:val="left"/>
      <w:pPr>
        <w:tabs>
          <w:tab w:val="num" w:pos="850"/>
        </w:tabs>
        <w:ind w:left="850" w:hanging="850"/>
      </w:pPr>
      <w:rPr>
        <w:rFonts w:cs="Times New Roman"/>
      </w:rPr>
    </w:lvl>
    <w:lvl w:ilvl="1">
      <w:start w:val="1"/>
      <w:numFmt w:val="decimal"/>
      <w:pStyle w:val="Ttulo2"/>
      <w:lvlText w:val="%1.%2."/>
      <w:lvlJc w:val="left"/>
      <w:pPr>
        <w:tabs>
          <w:tab w:val="num" w:pos="850"/>
        </w:tabs>
        <w:ind w:left="850" w:hanging="850"/>
      </w:pPr>
      <w:rPr>
        <w:rFonts w:cs="Times New Roman"/>
      </w:rPr>
    </w:lvl>
    <w:lvl w:ilvl="2">
      <w:start w:val="1"/>
      <w:numFmt w:val="decimal"/>
      <w:pStyle w:val="Ttulo3"/>
      <w:lvlText w:val="%1.%2.%3."/>
      <w:lvlJc w:val="left"/>
      <w:pPr>
        <w:tabs>
          <w:tab w:val="num" w:pos="850"/>
        </w:tabs>
        <w:ind w:left="850" w:hanging="850"/>
      </w:pPr>
      <w:rPr>
        <w:rFonts w:cs="Times New Roman"/>
        <w:i w:val="0"/>
      </w:rPr>
    </w:lvl>
    <w:lvl w:ilvl="3">
      <w:start w:val="1"/>
      <w:numFmt w:val="decimal"/>
      <w:pStyle w:val="Ttulo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78D0224"/>
    <w:multiLevelType w:val="hybridMultilevel"/>
    <w:tmpl w:val="BB565A24"/>
    <w:lvl w:ilvl="0" w:tplc="61241BA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A2D22"/>
    <w:multiLevelType w:val="hybridMultilevel"/>
    <w:tmpl w:val="78F01A84"/>
    <w:lvl w:ilvl="0" w:tplc="406AB61E">
      <w:start w:val="2"/>
      <w:numFmt w:val="bullet"/>
      <w:lvlText w:val="-"/>
      <w:lvlJc w:val="left"/>
      <w:pPr>
        <w:tabs>
          <w:tab w:val="num" w:pos="1170"/>
        </w:tabs>
        <w:ind w:left="1170" w:hanging="360"/>
      </w:pPr>
      <w:rPr>
        <w:rFonts w:ascii="Arial" w:eastAsia="Times New Roman" w:hAnsi="Arial" w:cs="Times New Roman" w:hint="default"/>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8722C2"/>
    <w:multiLevelType w:val="hybridMultilevel"/>
    <w:tmpl w:val="2FE4AB5A"/>
    <w:lvl w:ilvl="0" w:tplc="0C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02F4932"/>
    <w:multiLevelType w:val="hybridMultilevel"/>
    <w:tmpl w:val="709C7444"/>
    <w:lvl w:ilvl="0" w:tplc="0C0A0001">
      <w:start w:val="1"/>
      <w:numFmt w:val="bullet"/>
      <w:lvlText w:val=""/>
      <w:lvlJc w:val="left"/>
      <w:pPr>
        <w:ind w:left="720" w:hanging="360"/>
      </w:pPr>
      <w:rPr>
        <w:rFonts w:ascii="Symbol" w:hAnsi="Symbol" w:hint="default"/>
      </w:rPr>
    </w:lvl>
    <w:lvl w:ilvl="1" w:tplc="B554CBCA">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7213683">
    <w:abstractNumId w:val="8"/>
  </w:num>
  <w:num w:numId="2" w16cid:durableId="770055238">
    <w:abstractNumId w:val="8"/>
  </w:num>
  <w:num w:numId="3" w16cid:durableId="1495994459">
    <w:abstractNumId w:val="8"/>
  </w:num>
  <w:num w:numId="4" w16cid:durableId="712270561">
    <w:abstractNumId w:val="8"/>
  </w:num>
  <w:num w:numId="5" w16cid:durableId="2070033500">
    <w:abstractNumId w:val="8"/>
  </w:num>
  <w:num w:numId="6" w16cid:durableId="1029259833">
    <w:abstractNumId w:val="5"/>
  </w:num>
  <w:num w:numId="7" w16cid:durableId="1158183303">
    <w:abstractNumId w:val="8"/>
  </w:num>
  <w:num w:numId="8" w16cid:durableId="30887733">
    <w:abstractNumId w:val="8"/>
  </w:num>
  <w:num w:numId="9" w16cid:durableId="128131327">
    <w:abstractNumId w:val="8"/>
  </w:num>
  <w:num w:numId="10" w16cid:durableId="766000668">
    <w:abstractNumId w:val="11"/>
  </w:num>
  <w:num w:numId="11" w16cid:durableId="309755709">
    <w:abstractNumId w:val="3"/>
  </w:num>
  <w:num w:numId="12" w16cid:durableId="1051005750">
    <w:abstractNumId w:val="4"/>
  </w:num>
  <w:num w:numId="13" w16cid:durableId="218980459">
    <w:abstractNumId w:val="1"/>
  </w:num>
  <w:num w:numId="14" w16cid:durableId="106198132">
    <w:abstractNumId w:val="12"/>
  </w:num>
  <w:num w:numId="15" w16cid:durableId="1569877866">
    <w:abstractNumId w:val="0"/>
  </w:num>
  <w:num w:numId="16" w16cid:durableId="1003703560">
    <w:abstractNumId w:val="9"/>
  </w:num>
  <w:num w:numId="17" w16cid:durableId="883715635">
    <w:abstractNumId w:val="2"/>
  </w:num>
  <w:num w:numId="18" w16cid:durableId="1709985786">
    <w:abstractNumId w:val="6"/>
  </w:num>
  <w:num w:numId="19" w16cid:durableId="2139832130">
    <w:abstractNumId w:val="10"/>
  </w:num>
  <w:num w:numId="20" w16cid:durableId="576090896">
    <w:abstractNumId w:val="8"/>
  </w:num>
  <w:num w:numId="21" w16cid:durableId="484205155">
    <w:abstractNumId w:val="8"/>
  </w:num>
  <w:num w:numId="22" w16cid:durableId="319236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AB"/>
    <w:rsid w:val="00045AF6"/>
    <w:rsid w:val="00062319"/>
    <w:rsid w:val="000B5B9E"/>
    <w:rsid w:val="00300D72"/>
    <w:rsid w:val="00327EBC"/>
    <w:rsid w:val="003327B9"/>
    <w:rsid w:val="0040055E"/>
    <w:rsid w:val="004C09AB"/>
    <w:rsid w:val="00516B1E"/>
    <w:rsid w:val="00523CB3"/>
    <w:rsid w:val="005A51A0"/>
    <w:rsid w:val="005B3CF4"/>
    <w:rsid w:val="006F3D77"/>
    <w:rsid w:val="008454E3"/>
    <w:rsid w:val="00893AA3"/>
    <w:rsid w:val="00A04A4D"/>
    <w:rsid w:val="00A52CD7"/>
    <w:rsid w:val="00A71B9D"/>
    <w:rsid w:val="00B644A4"/>
    <w:rsid w:val="00BA4EDC"/>
    <w:rsid w:val="00C21F0B"/>
    <w:rsid w:val="00C31448"/>
    <w:rsid w:val="00C67A07"/>
    <w:rsid w:val="00C82CA3"/>
    <w:rsid w:val="00CD7ADE"/>
    <w:rsid w:val="00D056BA"/>
    <w:rsid w:val="00F03131"/>
    <w:rsid w:val="00F77507"/>
    <w:rsid w:val="00FE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A4B1"/>
  <w15:chartTrackingRefBased/>
  <w15:docId w15:val="{4468C07D-C29C-4CB6-9644-5EB6CEDC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1"/>
    <w:link w:val="Ttulo1Car"/>
    <w:qFormat/>
    <w:rsid w:val="00516B1E"/>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val="en-GB" w:eastAsia="de-DE"/>
    </w:rPr>
  </w:style>
  <w:style w:type="paragraph" w:styleId="Ttulo2">
    <w:name w:val="heading 2"/>
    <w:basedOn w:val="Normal"/>
    <w:next w:val="Normal"/>
    <w:link w:val="Ttulo2Car"/>
    <w:qFormat/>
    <w:rsid w:val="00516B1E"/>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val="en-GB" w:eastAsia="de-DE"/>
    </w:rPr>
  </w:style>
  <w:style w:type="paragraph" w:styleId="Ttulo3">
    <w:name w:val="heading 3"/>
    <w:basedOn w:val="Normal"/>
    <w:next w:val="Normal"/>
    <w:link w:val="Ttulo3Car"/>
    <w:qFormat/>
    <w:rsid w:val="00516B1E"/>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val="en-GB" w:eastAsia="de-DE"/>
    </w:rPr>
  </w:style>
  <w:style w:type="paragraph" w:styleId="Ttulo4">
    <w:name w:val="heading 4"/>
    <w:basedOn w:val="Normal"/>
    <w:next w:val="Normal"/>
    <w:link w:val="Ttulo4Car"/>
    <w:qFormat/>
    <w:rsid w:val="00516B1E"/>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val="en-GB"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6B1E"/>
    <w:rPr>
      <w:rFonts w:ascii="Times New Roman" w:eastAsia="Times New Roman" w:hAnsi="Times New Roman" w:cs="Times New Roman"/>
      <w:b/>
      <w:bCs/>
      <w:smallCaps/>
      <w:sz w:val="24"/>
      <w:szCs w:val="32"/>
      <w:lang w:val="en-GB" w:eastAsia="de-DE"/>
    </w:rPr>
  </w:style>
  <w:style w:type="character" w:customStyle="1" w:styleId="Ttulo2Car">
    <w:name w:val="Título 2 Car"/>
    <w:basedOn w:val="Fuentedeprrafopredeter"/>
    <w:link w:val="Ttulo2"/>
    <w:rsid w:val="00516B1E"/>
    <w:rPr>
      <w:rFonts w:ascii="Times New Roman" w:eastAsia="Times New Roman" w:hAnsi="Times New Roman" w:cs="Times New Roman"/>
      <w:b/>
      <w:bCs/>
      <w:iCs/>
      <w:sz w:val="24"/>
      <w:szCs w:val="28"/>
      <w:lang w:val="en-GB" w:eastAsia="de-DE"/>
    </w:rPr>
  </w:style>
  <w:style w:type="character" w:customStyle="1" w:styleId="Ttulo3Car">
    <w:name w:val="Título 3 Car"/>
    <w:basedOn w:val="Fuentedeprrafopredeter"/>
    <w:link w:val="Ttulo3"/>
    <w:rsid w:val="00516B1E"/>
    <w:rPr>
      <w:rFonts w:ascii="Times New Roman" w:eastAsia="Times New Roman" w:hAnsi="Times New Roman" w:cs="Times New Roman"/>
      <w:bCs/>
      <w:i/>
      <w:sz w:val="24"/>
      <w:szCs w:val="26"/>
      <w:lang w:val="en-GB" w:eastAsia="de-DE"/>
    </w:rPr>
  </w:style>
  <w:style w:type="character" w:customStyle="1" w:styleId="Ttulo4Car">
    <w:name w:val="Título 4 Car"/>
    <w:basedOn w:val="Fuentedeprrafopredeter"/>
    <w:link w:val="Ttulo4"/>
    <w:rsid w:val="00516B1E"/>
    <w:rPr>
      <w:rFonts w:ascii="Times New Roman" w:eastAsia="Times New Roman" w:hAnsi="Times New Roman" w:cs="Times New Roman"/>
      <w:bCs/>
      <w:sz w:val="24"/>
      <w:szCs w:val="28"/>
      <w:lang w:val="en-GB" w:eastAsia="de-DE"/>
    </w:rPr>
  </w:style>
  <w:style w:type="paragraph" w:customStyle="1" w:styleId="Text1">
    <w:name w:val="Text 1"/>
    <w:basedOn w:val="Normal"/>
    <w:rsid w:val="00516B1E"/>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NormalCentered">
    <w:name w:val="Normal Centered"/>
    <w:basedOn w:val="Normal"/>
    <w:rsid w:val="00516B1E"/>
    <w:pPr>
      <w:spacing w:before="120" w:after="120" w:line="240" w:lineRule="auto"/>
      <w:jc w:val="center"/>
    </w:pPr>
    <w:rPr>
      <w:rFonts w:ascii="Times New Roman" w:eastAsia="Times New Roman" w:hAnsi="Times New Roman" w:cs="Times New Roman"/>
      <w:sz w:val="24"/>
      <w:szCs w:val="24"/>
      <w:lang w:val="en-GB" w:eastAsia="de-DE"/>
    </w:rPr>
  </w:style>
  <w:style w:type="character" w:styleId="Hipervnculo">
    <w:name w:val="Hyperlink"/>
    <w:rsid w:val="00516B1E"/>
    <w:rPr>
      <w:color w:val="0000FF"/>
      <w:u w:val="single"/>
    </w:rPr>
  </w:style>
  <w:style w:type="paragraph" w:styleId="Prrafodelista">
    <w:name w:val="List Paragraph"/>
    <w:basedOn w:val="Normal"/>
    <w:uiPriority w:val="99"/>
    <w:qFormat/>
    <w:rsid w:val="00C67A07"/>
    <w:pPr>
      <w:ind w:left="720"/>
      <w:contextualSpacing/>
    </w:pPr>
  </w:style>
  <w:style w:type="character" w:styleId="Refdecomentario">
    <w:name w:val="annotation reference"/>
    <w:basedOn w:val="Fuentedeprrafopredeter"/>
    <w:uiPriority w:val="99"/>
    <w:semiHidden/>
    <w:unhideWhenUsed/>
    <w:rsid w:val="00045AF6"/>
    <w:rPr>
      <w:sz w:val="16"/>
      <w:szCs w:val="16"/>
    </w:rPr>
  </w:style>
  <w:style w:type="paragraph" w:styleId="Textocomentario">
    <w:name w:val="annotation text"/>
    <w:basedOn w:val="Normal"/>
    <w:link w:val="TextocomentarioCar"/>
    <w:uiPriority w:val="99"/>
    <w:semiHidden/>
    <w:unhideWhenUsed/>
    <w:rsid w:val="00045A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AF6"/>
    <w:rPr>
      <w:sz w:val="20"/>
      <w:szCs w:val="20"/>
    </w:rPr>
  </w:style>
  <w:style w:type="paragraph" w:styleId="Asuntodelcomentario">
    <w:name w:val="annotation subject"/>
    <w:basedOn w:val="Textocomentario"/>
    <w:next w:val="Textocomentario"/>
    <w:link w:val="AsuntodelcomentarioCar"/>
    <w:uiPriority w:val="99"/>
    <w:semiHidden/>
    <w:unhideWhenUsed/>
    <w:rsid w:val="00045AF6"/>
    <w:rPr>
      <w:b/>
      <w:bCs/>
    </w:rPr>
  </w:style>
  <w:style w:type="character" w:customStyle="1" w:styleId="AsuntodelcomentarioCar">
    <w:name w:val="Asunto del comentario Car"/>
    <w:basedOn w:val="TextocomentarioCar"/>
    <w:link w:val="Asuntodelcomentario"/>
    <w:uiPriority w:val="99"/>
    <w:semiHidden/>
    <w:rsid w:val="00045AF6"/>
    <w:rPr>
      <w:b/>
      <w:bCs/>
      <w:sz w:val="20"/>
      <w:szCs w:val="20"/>
    </w:rPr>
  </w:style>
  <w:style w:type="paragraph" w:styleId="Revisin">
    <w:name w:val="Revision"/>
    <w:hidden/>
    <w:uiPriority w:val="99"/>
    <w:semiHidden/>
    <w:rsid w:val="00045AF6"/>
    <w:pPr>
      <w:spacing w:after="0" w:line="240" w:lineRule="auto"/>
    </w:pPr>
  </w:style>
  <w:style w:type="paragraph" w:styleId="Textodeglobo">
    <w:name w:val="Balloon Text"/>
    <w:basedOn w:val="Normal"/>
    <w:link w:val="TextodegloboCar"/>
    <w:uiPriority w:val="99"/>
    <w:semiHidden/>
    <w:unhideWhenUsed/>
    <w:rsid w:val="00045A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C932-9C86-4C89-993A-75947CAE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928</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dc:creator>
  <cp:keywords/>
  <dc:description/>
  <cp:lastModifiedBy>De Santos Carretero, Monica</cp:lastModifiedBy>
  <cp:revision>4</cp:revision>
  <dcterms:created xsi:type="dcterms:W3CDTF">2024-10-17T12:48:00Z</dcterms:created>
  <dcterms:modified xsi:type="dcterms:W3CDTF">2024-11-20T12:07:00Z</dcterms:modified>
</cp:coreProperties>
</file>